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34" w:rsidRDefault="00847934" w:rsidP="008479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847934" w:rsidRPr="00FC30AE" w:rsidRDefault="00847934" w:rsidP="0084793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литературе в 10-11 классах</w:t>
      </w:r>
    </w:p>
    <w:p w:rsidR="00847934" w:rsidRPr="00FC30AE" w:rsidRDefault="00847934" w:rsidP="00847934">
      <w:pPr>
        <w:spacing w:after="0"/>
        <w:ind w:left="120"/>
        <w:rPr>
          <w:lang w:val="ru-RU"/>
        </w:rPr>
      </w:pP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FC30AE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утверждена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распоряжением Правительства Российской Федерации от 9 апреля 2016 г. № 637-р). </w:t>
      </w:r>
    </w:p>
    <w:p w:rsidR="00847934" w:rsidRPr="00FC30AE" w:rsidRDefault="00847934" w:rsidP="00847934">
      <w:pPr>
        <w:spacing w:after="0"/>
        <w:ind w:left="120"/>
        <w:rPr>
          <w:lang w:val="ru-RU"/>
        </w:rPr>
      </w:pP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C30AE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изучение литературы строится с учетом обобщающего повторения ранее изученных произведений, в том числе «Слово о полку Игореве»; стихотворений М.В. Ломоносова, Г.Р. Державина; комедии Д.И. Фонвизина «Недоросль»; стихотворений и баллад В.А. Жуковского;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 xml:space="preserve">комедии </w:t>
      </w:r>
      <w:r w:rsidRPr="00FC30AE">
        <w:rPr>
          <w:rFonts w:ascii="Times New Roman" w:hAnsi="Times New Roman"/>
          <w:color w:val="000000"/>
          <w:sz w:val="28"/>
          <w:lang w:val="ru-RU"/>
        </w:rPr>
        <w:lastRenderedPageBreak/>
        <w:t>А.С. Грибоедова «Горе от ума»; произведений А.С. Пушкина (стихотворений, романов «Евгений Онегин» и «Капитанская дочка»); произведений М.Ю. Лермонтова (стихотворений, романа «Герой нашего времени»); произведений Н.В. Гоголя (комедии «Ревизор», поэмы «Мертвые души»);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происходит углубление </w:t>
      </w:r>
      <w:proofErr w:type="spellStart"/>
      <w:r w:rsidRPr="00FC30A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C30AE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мотивированных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и способных обучающихся, выбравших данный уровень изучения предмета.</w:t>
      </w:r>
    </w:p>
    <w:p w:rsidR="00847934" w:rsidRPr="00FC30AE" w:rsidRDefault="00847934" w:rsidP="00847934">
      <w:pPr>
        <w:spacing w:after="0"/>
        <w:ind w:left="120"/>
        <w:jc w:val="center"/>
        <w:rPr>
          <w:lang w:val="ru-RU"/>
        </w:rPr>
      </w:pP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средней школе состоят: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 xml:space="preserve">в </w:t>
      </w:r>
      <w:proofErr w:type="spellStart"/>
      <w:r w:rsidRPr="00FC30AE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</w:t>
      </w:r>
      <w:r w:rsidRPr="00FC30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комплексном решении учебных и воспитательных задач, стоящих перед старшей школой и сформулированных в ФГОС СОО. 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FC30AE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C30AE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FC30AE"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FC30AE">
        <w:rPr>
          <w:rFonts w:ascii="Times New Roman" w:hAnsi="Times New Roman"/>
          <w:color w:val="000000"/>
          <w:sz w:val="28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FC30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</w:t>
      </w:r>
      <w:r w:rsidRPr="00FC30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proofErr w:type="gramStart"/>
      <w:r w:rsidRPr="00FC30AE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847934" w:rsidRPr="00FC30AE" w:rsidRDefault="00847934" w:rsidP="00847934">
      <w:pPr>
        <w:spacing w:after="0"/>
        <w:ind w:left="120"/>
        <w:jc w:val="both"/>
        <w:rPr>
          <w:lang w:val="ru-RU"/>
        </w:rPr>
      </w:pPr>
      <w:bookmarkStart w:id="0" w:name="_GoBack"/>
      <w:bookmarkEnd w:id="0"/>
    </w:p>
    <w:p w:rsidR="00847934" w:rsidRPr="00FC30AE" w:rsidRDefault="00847934" w:rsidP="00847934">
      <w:pPr>
        <w:spacing w:after="0"/>
        <w:ind w:firstLine="600"/>
        <w:jc w:val="both"/>
        <w:rPr>
          <w:lang w:val="ru-RU"/>
        </w:rPr>
      </w:pPr>
      <w:r w:rsidRPr="00FC30AE"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370112" w:rsidRPr="00847934" w:rsidRDefault="00370112">
      <w:pPr>
        <w:rPr>
          <w:lang w:val="ru-RU"/>
        </w:rPr>
      </w:pPr>
    </w:p>
    <w:sectPr w:rsidR="00370112" w:rsidRPr="00847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34"/>
    <w:rsid w:val="00370112"/>
    <w:rsid w:val="0084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3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3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2024-09-10T09:38:00Z</dcterms:created>
  <dcterms:modified xsi:type="dcterms:W3CDTF">2024-09-10T09:40:00Z</dcterms:modified>
</cp:coreProperties>
</file>